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Nevitt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INTC 5160: Instructional Design and Development</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Design Document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Statement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purpose of this instructional goal is to strengthen student ability to compose, edit, and utilize arrays in the Python programming language.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Instructional Goals</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8775"/>
        <w:tblGridChange w:id="0">
          <w:tblGrid>
            <w:gridCol w:w="585"/>
            <w:gridCol w:w="87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arrays and explain their usefulness in programming.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and add data to arrays in Python.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the terms element, index, and initializer list as they relate to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out which index relates to which item in an array.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code to access elements at given indices in an array.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difference between how Python handles parameters that are primitive data types and parameters that are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several different algorithms that are used to sort and search data in an array.</w:t>
            </w:r>
          </w:p>
        </w:tc>
      </w:tr>
    </w:tbl>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Audience </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Primary Student Group</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audience is approximately 21 High School students from Palmyra, NJ. The group is composed of students of differing grades from grades 9-12. The performance gap that is being addressed is that students will be able to compose, edit, and utilize arrays in the Python programming language. The importance of this performance gap is for students who will take AP Computer Science Principles to be able to attain this skill as they compose the create task for the Advanced Placement test. This skill is 30% of their final grade.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General Characteristics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average age of the students is between 14 and 18 years old. There are 13 male students and 8 female students. Students are enrolled in the course Intro to Coding. The course is an elective class which students learn the basics of coding. Students then have the option to continue to take AP Computer Science Principles or AP Computer Science Java after taking this course.. This course is a prerequisite for the two Advanced Placement Courses. The students live in Palmyra, NJ. The demographic of Palmyra High School per the 2019-2020 school performance report is as follows: 368 Total Students; 6.0% English Learners; 14.4% Students with Disabilities; 26.1%</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Economically Disadvantaged.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Number of Students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total of 21 students. There are 13 male students and 8 female students. The students travel to the classroom at their designated class period. The period is 45 minutes long.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Experience Level</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enrolled in this course range in grade level from 9th grade to 12th grade. Students who enroll in the class have no previous experience coding or using the Python language. Of the group, three students would be considered students with learning disabilities and have appropriate IEPs and one student has a 504 plan. 17 students are considered to be honors track students.</w:t>
      </w:r>
    </w:p>
    <w:p w:rsidR="00000000" w:rsidDel="00000000" w:rsidP="00000000" w:rsidRDefault="00000000" w:rsidRPr="00000000" w14:paraId="0000002B">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Attitudes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generally are lacking in their attitudes toward the class. Students show little to no interest in learning specific coding concepts. Students show an emphasis on getting good grades and doing well on tests but do not want to put the time or effort into studying skills that will help with their good grades. This is a general consensus among teachers within the school for these students.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Skills that Impact Potential to Succeed in the Learning Environment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successfully address the performance gap, students need to have general computer skills such as typing, internet browsing, and use of canvas instructional software. Students also need to have a general understanding of python syntax that is taught within the class.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 Resources </w:t>
      </w:r>
    </w:p>
    <w:p w:rsidR="00000000" w:rsidDel="00000000" w:rsidP="00000000" w:rsidRDefault="00000000" w:rsidRPr="00000000" w14:paraId="0000003E">
      <w:pPr>
        <w:rPr>
          <w:rFonts w:ascii="Times New Roman" w:cs="Times New Roman" w:eastAsia="Times New Roman" w:hAnsi="Times New Roman"/>
          <w:i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Content Resources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Project STEM Lesson Site (Online Textbook)</w:t>
            </w:r>
            <w:r w:rsidDel="00000000" w:rsidR="00000000" w:rsidRPr="00000000">
              <w:rPr>
                <w:rFonts w:ascii="Times New Roman" w:cs="Times New Roman" w:eastAsia="Times New Roman" w:hAnsi="Times New Roman"/>
                <w:sz w:val="24"/>
                <w:szCs w:val="24"/>
                <w:rtl w:val="0"/>
              </w:rPr>
              <w:t xml:space="preserve">: Students will need access to the Project STEM Lesson Site. This online textbook will provide content information about the Python Coding Language. The Online Lesson guide includes videos with examples of varying topics within the python language.</w:t>
            </w:r>
          </w:p>
          <w:p w:rsidR="00000000" w:rsidDel="00000000" w:rsidP="00000000" w:rsidRDefault="00000000" w:rsidRPr="00000000" w14:paraId="00000041">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Coding Environment</w:t>
            </w:r>
            <w:r w:rsidDel="00000000" w:rsidR="00000000" w:rsidRPr="00000000">
              <w:rPr>
                <w:rFonts w:ascii="Times New Roman" w:cs="Times New Roman" w:eastAsia="Times New Roman" w:hAnsi="Times New Roman"/>
                <w:sz w:val="24"/>
                <w:szCs w:val="24"/>
                <w:rtl w:val="0"/>
              </w:rPr>
              <w:t xml:space="preserve">: The coding environment is where students are able to compose and edit code. Students are able to run their code and see real time results of the code they produced.</w:t>
            </w:r>
          </w:p>
          <w:p w:rsidR="00000000" w:rsidDel="00000000" w:rsidP="00000000" w:rsidRDefault="00000000" w:rsidRPr="00000000" w14:paraId="00000042">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Coding Rubric</w:t>
            </w:r>
            <w:r w:rsidDel="00000000" w:rsidR="00000000" w:rsidRPr="00000000">
              <w:rPr>
                <w:rFonts w:ascii="Times New Roman" w:cs="Times New Roman" w:eastAsia="Times New Roman" w:hAnsi="Times New Roman"/>
                <w:sz w:val="24"/>
                <w:szCs w:val="24"/>
                <w:rtl w:val="0"/>
              </w:rPr>
              <w:t xml:space="preserve">: The coding rubric shows students exact specifications they need to meet for each of their assignments.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Resources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Chromebooks / Computers</w:t>
            </w:r>
            <w:r w:rsidDel="00000000" w:rsidR="00000000" w:rsidRPr="00000000">
              <w:rPr>
                <w:rFonts w:ascii="Times New Roman" w:cs="Times New Roman" w:eastAsia="Times New Roman" w:hAnsi="Times New Roman"/>
                <w:sz w:val="24"/>
                <w:szCs w:val="24"/>
                <w:rtl w:val="0"/>
              </w:rPr>
              <w:t xml:space="preserve">: The Palmyra School District is a 1 to 1 district with every student having access to a Chromebook. The class is also taught in a computer lab in which students have access to microsoft computers.</w:t>
            </w:r>
          </w:p>
          <w:p w:rsidR="00000000" w:rsidDel="00000000" w:rsidP="00000000" w:rsidRDefault="00000000" w:rsidRPr="00000000" w14:paraId="00000045">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Smart Board</w:t>
            </w:r>
            <w:r w:rsidDel="00000000" w:rsidR="00000000" w:rsidRPr="00000000">
              <w:rPr>
                <w:rFonts w:ascii="Times New Roman" w:cs="Times New Roman" w:eastAsia="Times New Roman" w:hAnsi="Times New Roman"/>
                <w:sz w:val="24"/>
                <w:szCs w:val="24"/>
                <w:rtl w:val="0"/>
              </w:rPr>
              <w:t xml:space="preserve">: The smart board is used to show video lessons and coding examples for the students.</w:t>
            </w:r>
          </w:p>
          <w:p w:rsidR="00000000" w:rsidDel="00000000" w:rsidP="00000000" w:rsidRDefault="00000000" w:rsidRPr="00000000" w14:paraId="00000046">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Senso Console</w:t>
            </w:r>
            <w:r w:rsidDel="00000000" w:rsidR="00000000" w:rsidRPr="00000000">
              <w:rPr>
                <w:rFonts w:ascii="Times New Roman" w:cs="Times New Roman" w:eastAsia="Times New Roman" w:hAnsi="Times New Roman"/>
                <w:sz w:val="24"/>
                <w:szCs w:val="24"/>
                <w:rtl w:val="0"/>
              </w:rPr>
              <w:t xml:space="preserve">: The Senso console allows for a projection of the teacher screen onto student devices. This is useful during code along practice where students can see the teacher's example.</w:t>
            </w:r>
          </w:p>
          <w:p w:rsidR="00000000" w:rsidDel="00000000" w:rsidP="00000000" w:rsidRDefault="00000000" w:rsidRPr="00000000" w14:paraId="00000047">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Canvas</w:t>
            </w:r>
            <w:r w:rsidDel="00000000" w:rsidR="00000000" w:rsidRPr="00000000">
              <w:rPr>
                <w:rFonts w:ascii="Times New Roman" w:cs="Times New Roman" w:eastAsia="Times New Roman" w:hAnsi="Times New Roman"/>
                <w:sz w:val="24"/>
                <w:szCs w:val="24"/>
                <w:rtl w:val="0"/>
              </w:rPr>
              <w:t xml:space="preserve">: Students will access work through Canvas online modules.</w:t>
            </w:r>
          </w:p>
          <w:p w:rsidR="00000000" w:rsidDel="00000000" w:rsidP="00000000" w:rsidRDefault="00000000" w:rsidRPr="00000000" w14:paraId="00000048">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Coding Environment</w:t>
            </w:r>
            <w:r w:rsidDel="00000000" w:rsidR="00000000" w:rsidRPr="00000000">
              <w:rPr>
                <w:rFonts w:ascii="Times New Roman" w:cs="Times New Roman" w:eastAsia="Times New Roman" w:hAnsi="Times New Roman"/>
                <w:sz w:val="24"/>
                <w:szCs w:val="24"/>
                <w:rtl w:val="0"/>
              </w:rPr>
              <w:t xml:space="preserve">: The coding environment is where students are able to compose and edit code. Students are able to run their code and see real time results of the code they produced.</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Instructional Facilities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will be held in a computer lab classroom. </w:t>
            </w:r>
          </w:p>
          <w:p w:rsidR="00000000" w:rsidDel="00000000" w:rsidP="00000000" w:rsidRDefault="00000000" w:rsidRPr="00000000" w14:paraId="0000004B">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27 students can be held at a time as there are 27 computer in the lab</w:t>
            </w:r>
          </w:p>
          <w:p w:rsidR="00000000" w:rsidDel="00000000" w:rsidP="00000000" w:rsidRDefault="00000000" w:rsidRPr="00000000" w14:paraId="0000004C">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class period is held during 7th period which starts at 12:10 and extends until 12:53</w:t>
            </w:r>
          </w:p>
          <w:p w:rsidR="00000000" w:rsidDel="00000000" w:rsidP="00000000" w:rsidRDefault="00000000" w:rsidRPr="00000000" w14:paraId="0000004D">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Scheduling Conflicts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NJGPA - March 13, 2023 to March 17, 2023</w:t>
            </w:r>
          </w:p>
          <w:p w:rsidR="00000000" w:rsidDel="00000000" w:rsidP="00000000" w:rsidRDefault="00000000" w:rsidRPr="00000000" w14:paraId="0000004F">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NJSLA - May 1, 2023 to May 26, 2023</w:t>
            </w:r>
          </w:p>
          <w:p w:rsidR="00000000" w:rsidDel="00000000" w:rsidP="00000000" w:rsidRDefault="00000000" w:rsidRPr="00000000" w14:paraId="00000050">
            <w:pPr>
              <w:widowControl w:val="0"/>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 Testing - May 1, 2023 to May 8, 2023</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Human Resources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teacher for all High School Technology Classes</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Building Administration: One principal, one vice principal, one athletic director</w:t>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Management Plan </w:t>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Core Instructional Design Team Members</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the Intro to Coding Teacher, AP Computer Science Principles Teacher, AP Computer Science Java Teacher, and Graphic Design Teacher. I have been teaching this subject for a total of 6 years and have a bachelor's degree in Graphic Design and Interactive Multimedia.</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Significant Constraints </w:t>
      </w:r>
    </w:p>
    <w:p w:rsidR="00000000" w:rsidDel="00000000" w:rsidP="00000000" w:rsidRDefault="00000000" w:rsidRPr="00000000" w14:paraId="0000005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 the 21 students, 3 have individual education plans, and one has a 504 plan.</w:t>
      </w:r>
    </w:p>
    <w:p w:rsidR="00000000" w:rsidDel="00000000" w:rsidP="00000000" w:rsidRDefault="00000000" w:rsidRPr="00000000" w14:paraId="00000061">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constraints and schedule conflicts prevent full participation in lessons. This includes: Senior Trip, College visits, NJSLA and NJGPA testing, NHS induction ceremony practice.</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Schedule Tasks</w:t>
      </w:r>
    </w:p>
    <w:p w:rsidR="00000000" w:rsidDel="00000000" w:rsidP="00000000" w:rsidRDefault="00000000" w:rsidRPr="00000000" w14:paraId="0000006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8775"/>
        <w:tblGridChange w:id="0">
          <w:tblGrid>
            <w:gridCol w:w="585"/>
            <w:gridCol w:w="87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Start on Defining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skills on adding data to arrays in Python.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the terms element, index, and initializer list as they relate to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students progress and difficulties, adjust usage of the above platforms, provide additional practice using the above platforms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an assessment to analyze student progress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assessment data to evaluate and draw conclusions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 steps if needed and produce final report</w:t>
            </w:r>
          </w:p>
        </w:tc>
      </w:tr>
    </w:tbl>
    <w:p w:rsidR="00000000" w:rsidDel="00000000" w:rsidP="00000000" w:rsidRDefault="00000000" w:rsidRPr="00000000" w14:paraId="0000007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Inventory and Performance Objectives</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Gap I would like to address is to create student ability to compose, edit, and utilize arrays in the Python programming language. The importance of this performance gap is that students who continue on to the AP Computer Science Principles course need to compose and edit arrays in multiple portions of the Advanced Placement test. 30% of the Advanced Placement test relies specifically on students' ability to produce and edit arrays. By having the students show mastery of this topic (90% or higher on given tests and exercises) time will be saved in the following class on time explaining and teaching this topic. Additionally, students have a 30% greater chance of doing better on the AP test as they would have mastery on the tested topic. With a higher score on the AP test, students will be able to transfer the college board credits to a university of their choice, saving money on a class they would have otherwise needed to pay for. Additionally, Palmyra School District enrolls in Equal Opportunity Schools which is a partnership that helps expand enrollment and sustainability in AP courses for low income students and minority students. The cost of this program for the district is $27,000 annually. The district enrolls in this program specifically due to the number of students who are low achieving on the AP test (a score below a 3). By closing this performance gap, students are at a 30% greater chance of passing the AP Computer Science course and therefore that alleviates at least one class out of the eight offered which in turn could save the district money they spend on the EOS program.</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Instructional Goals</w:t>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8775"/>
        <w:tblGridChange w:id="0">
          <w:tblGrid>
            <w:gridCol w:w="585"/>
            <w:gridCol w:w="87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arrays and explain their usefulness in programming.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and add data to arrays in Python.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the terms element, index, and initializer list as they relate to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out which index relates to which item in an array.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code to access elements at given indices in an array.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difference between how Python handles parameters that are primitive data types and parameters that are arrays.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several different algorithms that are used to sort and search data in an array.</w:t>
            </w:r>
          </w:p>
        </w:tc>
      </w:tr>
    </w:tbl>
    <w:p w:rsidR="00000000" w:rsidDel="00000000" w:rsidP="00000000" w:rsidRDefault="00000000" w:rsidRPr="00000000" w14:paraId="0000009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Inventory</w:t>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 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give a definition of an 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find the definition in a multiple choice setting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an 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declare an array with at least 5 different items in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coding environment, students will code their own array with at least 5 items in the 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the terms element, index, and initializer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give definition of the terms element, index, and initializer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find the definition in a multiple choice setting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the index of an element in an 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find an element at a given index in an 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given  multiple choice questions in which the index is given and they must find the appropriate element and students will be given multiple choice questions in which the element is given and they must find the appropriate index.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python uses arrays as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give a detailed example of an array used as a parameter in a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coding environment, students will need to produce a code in which an array is used as a parameter. Students will then need to add a comment to their code explaining what indexes are passed to the 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sort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sort an array in python into alphabetical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coding environment, students will produce a code that takes a given array and sorts the code into alphabetical order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search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search an array in python and return the location of a given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coding environment, students will produce a code that takes a given element and finds the index of which that element resides.</w:t>
            </w:r>
          </w:p>
        </w:tc>
      </w:tr>
    </w:tbl>
    <w:p w:rsidR="00000000" w:rsidDel="00000000" w:rsidP="00000000" w:rsidRDefault="00000000" w:rsidRPr="00000000" w14:paraId="000000B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jc w:val="both"/>
        <w:rPr>
          <w:b w:val="1"/>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Cost of the Training</w:t>
      </w:r>
    </w:p>
    <w:tbl>
      <w:tblPr>
        <w:tblStyle w:val="Table6"/>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1680"/>
        <w:tblGridChange w:id="0">
          <w:tblGrid>
            <w:gridCol w:w="7440"/>
            <w:gridCol w:w="1680"/>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ANALYZE</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Designer’ Salary</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36.00 per hour for 40 total hours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Travel, and Incidental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10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 Subscriptions</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STEM (Grant Funded)</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Python Tutor (Free Online)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Repl.it (Free Online)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Expenses</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SMARTBoard</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 Console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Fees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6440</w:t>
            </w:r>
          </w:p>
        </w:tc>
      </w:tr>
    </w:tbl>
    <w:p w:rsidR="00000000" w:rsidDel="00000000" w:rsidP="00000000" w:rsidRDefault="00000000" w:rsidRPr="00000000" w14:paraId="000000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7"/>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55"/>
        <w:gridCol w:w="1665"/>
        <w:tblGridChange w:id="0">
          <w:tblGrid>
            <w:gridCol w:w="7455"/>
            <w:gridCol w:w="1665"/>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Instructional Designers’ Salaries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Travel, and Incidental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App Subscriptions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Equipment Expenses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Fees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Miscellaneous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r>
    </w:tbl>
    <w:p w:rsidR="00000000" w:rsidDel="00000000" w:rsidP="00000000" w:rsidRDefault="00000000" w:rsidRPr="00000000" w14:paraId="000000E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8"/>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55"/>
        <w:gridCol w:w="1665"/>
        <w:tblGridChange w:id="0">
          <w:tblGrid>
            <w:gridCol w:w="7455"/>
            <w:gridCol w:w="1665"/>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Instructional Designers’ Salaries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Travel, and Incidental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App Subscriptions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Equipment Expenses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Fees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Miscellaneous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r>
    </w:tbl>
    <w:p w:rsidR="00000000" w:rsidDel="00000000" w:rsidP="00000000" w:rsidRDefault="00000000" w:rsidRPr="00000000" w14:paraId="000000F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9"/>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55"/>
        <w:gridCol w:w="1665"/>
        <w:tblGridChange w:id="0">
          <w:tblGrid>
            <w:gridCol w:w="7455"/>
            <w:gridCol w:w="1665"/>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 </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Instructional Designers’ Salaries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Travel, and Incidental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App Subscriptions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Equipment Expenses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Fees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Miscellaneous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r>
    </w:tbl>
    <w:p w:rsidR="00000000" w:rsidDel="00000000" w:rsidP="00000000" w:rsidRDefault="00000000" w:rsidRPr="00000000" w14:paraId="000001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0"/>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55"/>
        <w:gridCol w:w="1665"/>
        <w:tblGridChange w:id="0">
          <w:tblGrid>
            <w:gridCol w:w="7455"/>
            <w:gridCol w:w="1665"/>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EVALUATE </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Tests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1455</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Instructional Designers’ Salaries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Travel, and Incidental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App Subscriptions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Expenses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Fees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Miscellaneous </w:t>
            </w:r>
            <w:r w:rsidDel="00000000" w:rsidR="00000000" w:rsidRPr="00000000">
              <w:rPr>
                <w:rFonts w:ascii="Times New Roman" w:cs="Times New Roman" w:eastAsia="Times New Roman" w:hAnsi="Times New Roman"/>
                <w:i w:val="1"/>
                <w:sz w:val="24"/>
                <w:szCs w:val="24"/>
                <w:rtl w:val="0"/>
              </w:rPr>
              <w:t xml:space="preserve">(included above, no additional cost)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$1455</w:t>
            </w:r>
          </w:p>
        </w:tc>
      </w:tr>
    </w:tbl>
    <w:p w:rsidR="00000000" w:rsidDel="00000000" w:rsidP="00000000" w:rsidRDefault="00000000" w:rsidRPr="00000000" w14:paraId="000001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1680"/>
        <w:tblGridChange w:id="0">
          <w:tblGrid>
            <w:gridCol w:w="7440"/>
            <w:gridCol w:w="1680"/>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FIVE ADDIE PHASES</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6440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1455</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$7895</w:t>
            </w:r>
          </w:p>
        </w:tc>
      </w:tr>
    </w:tbl>
    <w:p w:rsidR="00000000" w:rsidDel="00000000" w:rsidP="00000000" w:rsidRDefault="00000000" w:rsidRPr="00000000" w14:paraId="000001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BENEFITS OF THE TRAINING:</w:t>
      </w:r>
    </w:p>
    <w:tbl>
      <w:tblPr>
        <w:tblStyle w:val="Table12"/>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40"/>
        <w:gridCol w:w="2580"/>
        <w:tblGridChange w:id="0">
          <w:tblGrid>
            <w:gridCol w:w="6540"/>
            <w:gridCol w:w="2580"/>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BENEFITS</w:t>
            </w:r>
          </w:p>
        </w:tc>
        <w:tc>
          <w:tcPr>
            <w:tcBorders>
              <w:top w:color="000000" w:space="0" w:sz="6" w:val="single"/>
              <w:left w:color="000000" w:space="0" w:sz="0" w:val="nil"/>
              <w:bottom w:color="000000" w:space="0" w:sz="6" w:val="single"/>
              <w:right w:color="000000" w:space="0" w:sz="6"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4">
            <w:pPr>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AP scores.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6">
            <w:pPr>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the need for AP Bootcamp Lunch Program</w:t>
            </w:r>
          </w:p>
          <w:p w:rsidR="00000000" w:rsidDel="00000000" w:rsidP="00000000" w:rsidRDefault="00000000" w:rsidRPr="00000000" w14:paraId="00000137">
            <w:pPr>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(Stipend $2500)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w:t>
            </w:r>
          </w:p>
        </w:tc>
      </w:tr>
      <w:tr>
        <w:trPr>
          <w:cantSplit w:val="0"/>
          <w:trHeight w:val="10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Replacement of Equal Opportunity Schools </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$27000 school cost; Savings of ⅛ of all classes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3375</w:t>
            </w:r>
          </w:p>
        </w:tc>
      </w:tr>
      <w:tr>
        <w:trPr>
          <w:cantSplit w:val="0"/>
          <w:trHeight w:val="7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Replacement of 1, 3 credit college courses.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4400</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E">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$10,275</w:t>
            </w:r>
          </w:p>
        </w:tc>
      </w:tr>
    </w:tbl>
    <w:p w:rsidR="00000000" w:rsidDel="00000000" w:rsidP="00000000" w:rsidRDefault="00000000" w:rsidRPr="00000000" w14:paraId="0000014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4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ROI =  x 100 = 130 %</w:t>
      </w:r>
    </w:p>
    <w:p w:rsidR="00000000" w:rsidDel="00000000" w:rsidP="00000000" w:rsidRDefault="00000000" w:rsidRPr="00000000" w14:paraId="0000014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Successfully completing this training would give an estimated 130% ROI. Proper execution could result in replacing AP Bootcamp lunch labs, the cost of 1, 3 credit college class, and could potentially reduce the need of the EOS program for the district. It should be noted that even if the need of the EOS program is not needed for this specific AP course, similar initiatives would be needed for other AP courses to reduce the total cost for the entire district. Additionally, this ROI is the addition of both the cost incurred on the school district and the cost incurred on the individual student.</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